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986C29" w:rsidRDefault="00747E15" w:rsidP="00747E15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附件1</w:t>
      </w:r>
    </w:p>
    <w:p w:rsidR="00747E15" w:rsidRPr="00986C29" w:rsidRDefault="00747E15" w:rsidP="00747E15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</w:t>
      </w:r>
      <w:proofErr w:type="gramStart"/>
      <w:r w:rsidRPr="00986C29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986C29">
        <w:rPr>
          <w:rFonts w:hint="eastAsia"/>
          <w:b/>
          <w:color w:val="000000"/>
          <w:sz w:val="32"/>
          <w:szCs w:val="32"/>
        </w:rPr>
        <w:t>月溢”（按日）开放式资产组合型人民币理财产品月度投资管理报告</w:t>
      </w:r>
    </w:p>
    <w:p w:rsidR="00747E15" w:rsidRPr="00986C29" w:rsidRDefault="00747E15" w:rsidP="00747E1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DC041F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004B86">
        <w:rPr>
          <w:rFonts w:ascii="宋体" w:hAnsi="宋体" w:hint="eastAsia"/>
          <w:color w:val="000000"/>
          <w:szCs w:val="21"/>
        </w:rPr>
        <w:t>10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004B86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Pr="004340C8" w:rsidRDefault="00747E15" w:rsidP="00584D88">
      <w:pPr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“乾元-日</w:t>
      </w:r>
      <w:proofErr w:type="gramStart"/>
      <w:r w:rsidRPr="00986C29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986C29">
        <w:rPr>
          <w:rFonts w:ascii="宋体" w:hAnsi="宋体" w:hint="eastAsia"/>
          <w:color w:val="000000"/>
          <w:sz w:val="28"/>
          <w:szCs w:val="28"/>
        </w:rPr>
        <w:t>月溢”（按日）开放式资产组合型人民币理财产品于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1"/>
        </w:smartTagPr>
        <w:r w:rsidRPr="00986C29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986C29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="00B93E97" w:rsidRPr="00B93E97">
        <w:rPr>
          <w:rFonts w:ascii="宋体" w:hAnsi="宋体" w:hint="eastAsia"/>
          <w:color w:val="000000"/>
          <w:sz w:val="28"/>
          <w:szCs w:val="28"/>
        </w:rPr>
        <w:t>96,310,617,249.12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2F02E2" w:rsidRPr="002F02E2" w:rsidRDefault="002F02E2" w:rsidP="002F02E2">
      <w:pPr>
        <w:widowControl/>
        <w:pBdr>
          <w:bottom w:val="single" w:sz="6" w:space="1" w:color="auto"/>
        </w:pBdr>
        <w:rPr>
          <w:rFonts w:ascii="Arial" w:hAnsi="Arial" w:cs="Arial"/>
          <w:vanish/>
          <w:kern w:val="0"/>
          <w:sz w:val="16"/>
          <w:szCs w:val="16"/>
        </w:rPr>
      </w:pPr>
      <w:r w:rsidRPr="002F02E2">
        <w:rPr>
          <w:rFonts w:ascii="Arial" w:hAnsi="Arial" w:cs="Arial" w:hint="eastAsia"/>
          <w:vanish/>
          <w:kern w:val="0"/>
          <w:sz w:val="16"/>
          <w:szCs w:val="16"/>
        </w:rPr>
        <w:t>窗体顶端</w:t>
      </w:r>
    </w:p>
    <w:p w:rsidR="00747E15" w:rsidRPr="00986C29" w:rsidRDefault="002F02E2" w:rsidP="002F02E2">
      <w:pPr>
        <w:spacing w:line="480" w:lineRule="exact"/>
        <w:ind w:firstLineChars="200" w:firstLine="320"/>
        <w:outlineLvl w:val="0"/>
        <w:rPr>
          <w:rFonts w:ascii="宋体" w:hAnsi="宋体"/>
          <w:b/>
          <w:color w:val="000000"/>
          <w:sz w:val="28"/>
          <w:szCs w:val="28"/>
        </w:rPr>
      </w:pPr>
      <w:r w:rsidRPr="002F02E2">
        <w:rPr>
          <w:rFonts w:ascii="Arial" w:hAnsi="Arial" w:cs="Arial" w:hint="eastAsia"/>
          <w:vanish/>
          <w:kern w:val="0"/>
          <w:sz w:val="16"/>
          <w:szCs w:val="16"/>
        </w:rPr>
        <w:t>窗体底端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1C51CC" w:rsidRPr="009C7E87" w:rsidRDefault="001C51CC" w:rsidP="001C51C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93E97">
        <w:rPr>
          <w:rFonts w:ascii="宋体" w:hAnsi="宋体" w:hint="eastAsia"/>
          <w:color w:val="000000"/>
          <w:sz w:val="28"/>
          <w:szCs w:val="28"/>
        </w:rPr>
        <w:t>10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93E97">
        <w:rPr>
          <w:rFonts w:ascii="宋体" w:hAnsi="宋体" w:hint="eastAsia"/>
          <w:color w:val="000000"/>
          <w:sz w:val="28"/>
          <w:szCs w:val="28"/>
        </w:rPr>
        <w:t>10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D07160">
        <w:rPr>
          <w:rFonts w:ascii="宋体" w:hAnsi="宋体" w:hint="eastAsia"/>
          <w:color w:val="000000"/>
          <w:sz w:val="28"/>
          <w:szCs w:val="28"/>
        </w:rPr>
        <w:t>3</w:t>
      </w:r>
      <w:r w:rsidR="00B93E97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741" w:type="dxa"/>
        <w:tblInd w:w="-1026" w:type="dxa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1134"/>
        <w:gridCol w:w="1134"/>
        <w:gridCol w:w="1134"/>
        <w:gridCol w:w="1134"/>
        <w:gridCol w:w="1276"/>
        <w:gridCol w:w="960"/>
      </w:tblGrid>
      <w:tr w:rsidR="007A7935" w:rsidRPr="001C51CC" w:rsidTr="00BE070B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1≤T＜7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7≤T＜14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14≤T＜30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30≤T＜60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60≤T＜90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90≤T＜180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180≤T＜365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T≥365</w:t>
            </w:r>
          </w:p>
        </w:tc>
      </w:tr>
      <w:tr w:rsidR="007A7935" w:rsidRPr="001C51CC" w:rsidTr="00BE070B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1C51CC" w:rsidP="001C51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</w:t>
            </w:r>
            <w:r w:rsidR="007A7935" w:rsidRPr="001C51CC">
              <w:rPr>
                <w:rFonts w:ascii="宋体" w:hAnsi="宋体" w:hint="eastAsia"/>
                <w:color w:val="000000"/>
                <w:szCs w:val="21"/>
              </w:rPr>
              <w:t>收益率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3.90%</w:t>
            </w:r>
          </w:p>
        </w:tc>
      </w:tr>
    </w:tbl>
    <w:p w:rsidR="00BE070B" w:rsidRDefault="00BE070B" w:rsidP="00BE070B">
      <w:pPr>
        <w:spacing w:line="480" w:lineRule="exact"/>
        <w:ind w:firstLine="420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1A204D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81241EC" wp14:editId="58897EDE">
            <wp:extent cx="3505200" cy="182880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747E15" w:rsidRDefault="00960A76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31E63D2" wp14:editId="302467D0">
            <wp:extent cx="3762375" cy="2209800"/>
            <wp:effectExtent l="0" t="0" r="9525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1840" w:rsidRPr="00986C29" w:rsidRDefault="00131840" w:rsidP="00131840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投资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类</w:t>
      </w:r>
      <w:r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131840" w:rsidRPr="00131840" w:rsidRDefault="00994651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660C3AE" wp14:editId="4DB89F40">
            <wp:extent cx="3362325" cy="2028825"/>
            <wp:effectExtent l="0" t="0" r="9525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</w:t>
      </w:r>
      <w:r w:rsidR="00131840">
        <w:rPr>
          <w:rFonts w:ascii="宋体" w:hAnsi="宋体" w:hint="eastAsia"/>
          <w:b/>
          <w:color w:val="000000"/>
          <w:sz w:val="28"/>
          <w:szCs w:val="28"/>
        </w:rPr>
        <w:t>四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986C2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986C2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747E15" w:rsidRPr="00986C29" w:rsidRDefault="00960A76" w:rsidP="00747E15">
      <w:pPr>
        <w:ind w:right="119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C25F715" wp14:editId="70295B12">
            <wp:extent cx="5274310" cy="2659131"/>
            <wp:effectExtent l="0" t="0" r="21590" b="2730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7E15" w:rsidRPr="00986C29" w:rsidRDefault="00131840" w:rsidP="00747E15">
      <w:pPr>
        <w:spacing w:line="480" w:lineRule="exact"/>
        <w:ind w:firstLineChars="197" w:firstLine="554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（五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）投资类</w:t>
      </w:r>
      <w:r w:rsidR="002767A0"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资产的行业占比构成及当月增减变化情况</w:t>
      </w:r>
    </w:p>
    <w:p w:rsidR="00747E15" w:rsidRDefault="00CB3AEC" w:rsidP="00747E15">
      <w:pPr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7C627A6" wp14:editId="295C573A">
            <wp:extent cx="5274310" cy="2068824"/>
            <wp:effectExtent l="0" t="0" r="21590" b="2730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986C29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986C29" w:rsidRDefault="00747E15" w:rsidP="00747E15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605150"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796986">
        <w:rPr>
          <w:rFonts w:ascii="宋体" w:hAnsi="宋体" w:hint="eastAsia"/>
          <w:color w:val="000000"/>
          <w:sz w:val="28"/>
          <w:szCs w:val="28"/>
        </w:rPr>
        <w:t>1</w:t>
      </w:r>
      <w:r w:rsidR="00004B86">
        <w:rPr>
          <w:rFonts w:ascii="宋体" w:hAnsi="宋体" w:hint="eastAsia"/>
          <w:color w:val="000000"/>
          <w:sz w:val="28"/>
          <w:szCs w:val="28"/>
        </w:rPr>
        <w:t>1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004B86">
        <w:rPr>
          <w:rFonts w:ascii="宋体" w:hAnsi="宋体" w:hint="eastAsia"/>
          <w:color w:val="000000"/>
          <w:sz w:val="28"/>
          <w:szCs w:val="28"/>
        </w:rPr>
        <w:t>5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961315" w:rsidRPr="006317AB" w:rsidRDefault="00961315" w:rsidP="00C6614C"/>
    <w:sectPr w:rsidR="00961315" w:rsidRPr="0063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7E" w:rsidRDefault="0083787E" w:rsidP="00747E15">
      <w:r>
        <w:separator/>
      </w:r>
    </w:p>
  </w:endnote>
  <w:endnote w:type="continuationSeparator" w:id="0">
    <w:p w:rsidR="0083787E" w:rsidRDefault="0083787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7E" w:rsidRDefault="0083787E" w:rsidP="00747E15">
      <w:r>
        <w:separator/>
      </w:r>
    </w:p>
  </w:footnote>
  <w:footnote w:type="continuationSeparator" w:id="0">
    <w:p w:rsidR="0083787E" w:rsidRDefault="0083787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50B6D"/>
    <w:rsid w:val="000A58C0"/>
    <w:rsid w:val="000F5E7E"/>
    <w:rsid w:val="00106270"/>
    <w:rsid w:val="00120614"/>
    <w:rsid w:val="00120E2F"/>
    <w:rsid w:val="001253E2"/>
    <w:rsid w:val="00131840"/>
    <w:rsid w:val="00153C80"/>
    <w:rsid w:val="0017482E"/>
    <w:rsid w:val="0017771F"/>
    <w:rsid w:val="001A204D"/>
    <w:rsid w:val="001C51CC"/>
    <w:rsid w:val="001E0ABA"/>
    <w:rsid w:val="001E60BC"/>
    <w:rsid w:val="001E70EA"/>
    <w:rsid w:val="001F4173"/>
    <w:rsid w:val="00212278"/>
    <w:rsid w:val="00264E8C"/>
    <w:rsid w:val="002767A0"/>
    <w:rsid w:val="00286C46"/>
    <w:rsid w:val="00292733"/>
    <w:rsid w:val="002974F6"/>
    <w:rsid w:val="002A0C80"/>
    <w:rsid w:val="002B1B4E"/>
    <w:rsid w:val="002F02E2"/>
    <w:rsid w:val="00326849"/>
    <w:rsid w:val="00332886"/>
    <w:rsid w:val="00333409"/>
    <w:rsid w:val="00351F0B"/>
    <w:rsid w:val="003729DF"/>
    <w:rsid w:val="0039500D"/>
    <w:rsid w:val="003E0232"/>
    <w:rsid w:val="004118B6"/>
    <w:rsid w:val="00417D2B"/>
    <w:rsid w:val="004340C8"/>
    <w:rsid w:val="00451B06"/>
    <w:rsid w:val="00467A3A"/>
    <w:rsid w:val="00491FFA"/>
    <w:rsid w:val="00495958"/>
    <w:rsid w:val="004A39A1"/>
    <w:rsid w:val="004C2FFD"/>
    <w:rsid w:val="004D6FF3"/>
    <w:rsid w:val="00556FF5"/>
    <w:rsid w:val="00574C73"/>
    <w:rsid w:val="00575AC8"/>
    <w:rsid w:val="00581772"/>
    <w:rsid w:val="00584D88"/>
    <w:rsid w:val="005965D6"/>
    <w:rsid w:val="005A7E4B"/>
    <w:rsid w:val="005C491D"/>
    <w:rsid w:val="005D075A"/>
    <w:rsid w:val="005F0968"/>
    <w:rsid w:val="00605150"/>
    <w:rsid w:val="006317AB"/>
    <w:rsid w:val="006342A8"/>
    <w:rsid w:val="006350AB"/>
    <w:rsid w:val="00657E0A"/>
    <w:rsid w:val="00691D50"/>
    <w:rsid w:val="006B7D67"/>
    <w:rsid w:val="006D1B33"/>
    <w:rsid w:val="006D216F"/>
    <w:rsid w:val="006D509E"/>
    <w:rsid w:val="006F03B9"/>
    <w:rsid w:val="00732817"/>
    <w:rsid w:val="007367C1"/>
    <w:rsid w:val="007372CD"/>
    <w:rsid w:val="00742813"/>
    <w:rsid w:val="00747E15"/>
    <w:rsid w:val="007812E4"/>
    <w:rsid w:val="00784FEC"/>
    <w:rsid w:val="0079146A"/>
    <w:rsid w:val="00796986"/>
    <w:rsid w:val="007A2D9F"/>
    <w:rsid w:val="007A7935"/>
    <w:rsid w:val="007B2D94"/>
    <w:rsid w:val="007B72B7"/>
    <w:rsid w:val="007F05DC"/>
    <w:rsid w:val="007F4653"/>
    <w:rsid w:val="00803A6A"/>
    <w:rsid w:val="00806379"/>
    <w:rsid w:val="00806AB0"/>
    <w:rsid w:val="00821DFE"/>
    <w:rsid w:val="0083787E"/>
    <w:rsid w:val="00842AD9"/>
    <w:rsid w:val="00844195"/>
    <w:rsid w:val="0088235C"/>
    <w:rsid w:val="008E0006"/>
    <w:rsid w:val="00900022"/>
    <w:rsid w:val="00920FF8"/>
    <w:rsid w:val="00923258"/>
    <w:rsid w:val="0092330C"/>
    <w:rsid w:val="009331AC"/>
    <w:rsid w:val="00941557"/>
    <w:rsid w:val="00957B5C"/>
    <w:rsid w:val="00960A76"/>
    <w:rsid w:val="00961315"/>
    <w:rsid w:val="0096707E"/>
    <w:rsid w:val="00985B43"/>
    <w:rsid w:val="00994651"/>
    <w:rsid w:val="009A0441"/>
    <w:rsid w:val="009A1E28"/>
    <w:rsid w:val="009D1164"/>
    <w:rsid w:val="009E28EF"/>
    <w:rsid w:val="009F16C9"/>
    <w:rsid w:val="00A00212"/>
    <w:rsid w:val="00A032E0"/>
    <w:rsid w:val="00A05A71"/>
    <w:rsid w:val="00A20C0F"/>
    <w:rsid w:val="00A4578C"/>
    <w:rsid w:val="00A66F45"/>
    <w:rsid w:val="00AB53D1"/>
    <w:rsid w:val="00AC0790"/>
    <w:rsid w:val="00AC12D7"/>
    <w:rsid w:val="00AD558F"/>
    <w:rsid w:val="00AD5E04"/>
    <w:rsid w:val="00B020F5"/>
    <w:rsid w:val="00B15284"/>
    <w:rsid w:val="00B33523"/>
    <w:rsid w:val="00B42469"/>
    <w:rsid w:val="00B71F10"/>
    <w:rsid w:val="00B93E97"/>
    <w:rsid w:val="00BC6C87"/>
    <w:rsid w:val="00BE070B"/>
    <w:rsid w:val="00BE1EDD"/>
    <w:rsid w:val="00BF33D1"/>
    <w:rsid w:val="00BF403D"/>
    <w:rsid w:val="00BF7077"/>
    <w:rsid w:val="00C118E8"/>
    <w:rsid w:val="00C561DF"/>
    <w:rsid w:val="00C6614C"/>
    <w:rsid w:val="00C91AB5"/>
    <w:rsid w:val="00CB3AEC"/>
    <w:rsid w:val="00CC33AD"/>
    <w:rsid w:val="00D07160"/>
    <w:rsid w:val="00D1212F"/>
    <w:rsid w:val="00D137A7"/>
    <w:rsid w:val="00D50E73"/>
    <w:rsid w:val="00D51247"/>
    <w:rsid w:val="00D570FB"/>
    <w:rsid w:val="00D57BDC"/>
    <w:rsid w:val="00D62D31"/>
    <w:rsid w:val="00DB4B6B"/>
    <w:rsid w:val="00DC041F"/>
    <w:rsid w:val="00DC0BC9"/>
    <w:rsid w:val="00DE7BE6"/>
    <w:rsid w:val="00DF32AC"/>
    <w:rsid w:val="00E24F4A"/>
    <w:rsid w:val="00E27018"/>
    <w:rsid w:val="00E76F46"/>
    <w:rsid w:val="00E77447"/>
    <w:rsid w:val="00EA1F92"/>
    <w:rsid w:val="00EB262D"/>
    <w:rsid w:val="00EC16E4"/>
    <w:rsid w:val="00EC33D8"/>
    <w:rsid w:val="00ED276F"/>
    <w:rsid w:val="00EF28D6"/>
    <w:rsid w:val="00F217C2"/>
    <w:rsid w:val="00F2223F"/>
    <w:rsid w:val="00F328DC"/>
    <w:rsid w:val="00F4754D"/>
    <w:rsid w:val="00F54032"/>
    <w:rsid w:val="00F568C2"/>
    <w:rsid w:val="00F61C96"/>
    <w:rsid w:val="00F65660"/>
    <w:rsid w:val="00FA0B51"/>
    <w:rsid w:val="00FB2BDB"/>
    <w:rsid w:val="00FD7D2F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717676594773465E-3"/>
          <c:y val="5.7753718285214351E-3"/>
          <c:w val="0.6120956845245844"/>
          <c:h val="0.9104940462582508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'2018年10月'!$A$9:$A$11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'2018年10月'!$B$9:$B$11</c:f>
              <c:numCache>
                <c:formatCode>0.00%</c:formatCode>
                <c:ptCount val="3"/>
                <c:pt idx="0">
                  <c:v>0.2197507525652293</c:v>
                </c:pt>
                <c:pt idx="1">
                  <c:v>0.4257842677658778</c:v>
                </c:pt>
                <c:pt idx="2">
                  <c:v>0.3544649796688929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'2018年10月'!$A$16:$A$25</c:f>
              <c:strCache>
                <c:ptCount val="10"/>
                <c:pt idx="0">
                  <c:v>A</c:v>
                </c:pt>
                <c:pt idx="1">
                  <c:v>A-</c:v>
                </c:pt>
                <c:pt idx="2">
                  <c:v>A+</c:v>
                </c:pt>
                <c:pt idx="3">
                  <c:v>AA</c:v>
                </c:pt>
                <c:pt idx="4">
                  <c:v>AA-</c:v>
                </c:pt>
                <c:pt idx="5">
                  <c:v>AA+</c:v>
                </c:pt>
                <c:pt idx="6">
                  <c:v>AAA</c:v>
                </c:pt>
                <c:pt idx="7">
                  <c:v>B</c:v>
                </c:pt>
                <c:pt idx="8">
                  <c:v>C</c:v>
                </c:pt>
                <c:pt idx="9">
                  <c:v>无</c:v>
                </c:pt>
              </c:strCache>
            </c:strRef>
          </c:cat>
          <c:val>
            <c:numRef>
              <c:f>'2018年10月'!$B$16:$B$25</c:f>
              <c:numCache>
                <c:formatCode>0.00%</c:formatCode>
                <c:ptCount val="10"/>
                <c:pt idx="0">
                  <c:v>5.3781533187006576E-2</c:v>
                </c:pt>
                <c:pt idx="1">
                  <c:v>4.6159003242466539E-4</c:v>
                </c:pt>
                <c:pt idx="2">
                  <c:v>8.9254727178842114E-2</c:v>
                </c:pt>
                <c:pt idx="3">
                  <c:v>0.14845439630389265</c:v>
                </c:pt>
                <c:pt idx="4">
                  <c:v>0.30176423411925141</c:v>
                </c:pt>
                <c:pt idx="5">
                  <c:v>0.1807949239421637</c:v>
                </c:pt>
                <c:pt idx="6">
                  <c:v>7.4179910086266287E-2</c:v>
                </c:pt>
                <c:pt idx="7">
                  <c:v>4.1501842399460628E-2</c:v>
                </c:pt>
                <c:pt idx="8">
                  <c:v>7.9257542251788115E-3</c:v>
                </c:pt>
                <c:pt idx="9">
                  <c:v>0.10188108852551332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995069603641313"/>
          <c:y val="8.4300841705131691E-2"/>
          <c:w val="0.15979613940662479"/>
          <c:h val="0.9156991582948683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'2018年10月'!$D$16:$D$23</c:f>
              <c:strCache>
                <c:ptCount val="8"/>
                <c:pt idx="0">
                  <c:v>A</c:v>
                </c:pt>
                <c:pt idx="1">
                  <c:v>A-</c:v>
                </c:pt>
                <c:pt idx="2">
                  <c:v>A+</c:v>
                </c:pt>
                <c:pt idx="3">
                  <c:v>AA</c:v>
                </c:pt>
                <c:pt idx="4">
                  <c:v>AA-</c:v>
                </c:pt>
                <c:pt idx="5">
                  <c:v>AA+</c:v>
                </c:pt>
                <c:pt idx="6">
                  <c:v>AAA</c:v>
                </c:pt>
                <c:pt idx="7">
                  <c:v>无</c:v>
                </c:pt>
              </c:strCache>
            </c:strRef>
          </c:cat>
          <c:val>
            <c:numRef>
              <c:f>'2018年10月'!$E$16:$E$23</c:f>
              <c:numCache>
                <c:formatCode>0.00%</c:formatCode>
                <c:ptCount val="8"/>
                <c:pt idx="0">
                  <c:v>1.0482137659766627E-2</c:v>
                </c:pt>
                <c:pt idx="1">
                  <c:v>7.6450301526810316E-3</c:v>
                </c:pt>
                <c:pt idx="2">
                  <c:v>1.0837317530882686E-2</c:v>
                </c:pt>
                <c:pt idx="3">
                  <c:v>7.2852177831240136E-2</c:v>
                </c:pt>
                <c:pt idx="4">
                  <c:v>0.11277492915967362</c:v>
                </c:pt>
                <c:pt idx="5">
                  <c:v>1.7616055314987965E-2</c:v>
                </c:pt>
                <c:pt idx="6">
                  <c:v>1.6611156167440088E-2</c:v>
                </c:pt>
                <c:pt idx="7">
                  <c:v>0.75118119618332779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1235955056179775E-2"/>
          <c:y val="3.7366786778771303E-2"/>
          <c:w val="0.94053835264973906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'2018年10月'!$B$29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'2018年10月'!$A$30:$A$44</c:f>
              <c:strCache>
                <c:ptCount val="15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科学研究和技术服务业</c:v>
                </c:pt>
                <c:pt idx="13">
                  <c:v>农、林、牧、渔业</c:v>
                </c:pt>
                <c:pt idx="14">
                  <c:v>居民服务、修理和其他服务业</c:v>
                </c:pt>
              </c:strCache>
            </c:strRef>
          </c:cat>
          <c:val>
            <c:numRef>
              <c:f>'2018年10月'!$B$30:$B$43</c:f>
              <c:numCache>
                <c:formatCode>0.00%</c:formatCode>
                <c:ptCount val="14"/>
                <c:pt idx="0">
                  <c:v>0.12470873464008028</c:v>
                </c:pt>
                <c:pt idx="1">
                  <c:v>3.5585444295175163E-2</c:v>
                </c:pt>
                <c:pt idx="2">
                  <c:v>3.4241587859866078E-2</c:v>
                </c:pt>
                <c:pt idx="3">
                  <c:v>2.4622471211438259E-2</c:v>
                </c:pt>
                <c:pt idx="4">
                  <c:v>2.9373911154296883E-2</c:v>
                </c:pt>
                <c:pt idx="5">
                  <c:v>3.2295353259440773E-2</c:v>
                </c:pt>
                <c:pt idx="6">
                  <c:v>7.6416299474421343E-2</c:v>
                </c:pt>
                <c:pt idx="7">
                  <c:v>7.1755563353927618E-2</c:v>
                </c:pt>
                <c:pt idx="8">
                  <c:v>2.0960582368551681E-2</c:v>
                </c:pt>
                <c:pt idx="9">
                  <c:v>0.45102558804422521</c:v>
                </c:pt>
                <c:pt idx="10">
                  <c:v>6.7140368352678588E-3</c:v>
                </c:pt>
                <c:pt idx="11">
                  <c:v>5.537322490933564E-2</c:v>
                </c:pt>
                <c:pt idx="12">
                  <c:v>0</c:v>
                </c:pt>
                <c:pt idx="13">
                  <c:v>3.3570184176339293E-2</c:v>
                </c:pt>
              </c:numCache>
            </c:numRef>
          </c:val>
        </c:ser>
        <c:ser>
          <c:idx val="1"/>
          <c:order val="1"/>
          <c:tx>
            <c:strRef>
              <c:f>'2018年10月'!$C$29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'2018年10月'!$A$30:$A$44</c:f>
              <c:strCache>
                <c:ptCount val="15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科学研究和技术服务业</c:v>
                </c:pt>
                <c:pt idx="13">
                  <c:v>农、林、牧、渔业</c:v>
                </c:pt>
                <c:pt idx="14">
                  <c:v>居民服务、修理和其他服务业</c:v>
                </c:pt>
              </c:strCache>
            </c:strRef>
          </c:cat>
          <c:val>
            <c:numRef>
              <c:f>'2018年10月'!$C$30:$C$44</c:f>
              <c:numCache>
                <c:formatCode>0.00%</c:formatCode>
                <c:ptCount val="15"/>
                <c:pt idx="0">
                  <c:v>5.7412322696028938E-2</c:v>
                </c:pt>
                <c:pt idx="1">
                  <c:v>6.1202383649594808E-2</c:v>
                </c:pt>
                <c:pt idx="2">
                  <c:v>7.4223073972604026E-2</c:v>
                </c:pt>
                <c:pt idx="3">
                  <c:v>2.5638192423960416E-2</c:v>
                </c:pt>
                <c:pt idx="4">
                  <c:v>1.7753363196065668E-2</c:v>
                </c:pt>
                <c:pt idx="5">
                  <c:v>4.0628100947975886E-2</c:v>
                </c:pt>
                <c:pt idx="6">
                  <c:v>8.8021719416562616E-2</c:v>
                </c:pt>
                <c:pt idx="7">
                  <c:v>8.4094878297153175E-2</c:v>
                </c:pt>
                <c:pt idx="8">
                  <c:v>8.8230546094985346E-2</c:v>
                </c:pt>
                <c:pt idx="9">
                  <c:v>0.39580450486602037</c:v>
                </c:pt>
                <c:pt idx="10">
                  <c:v>2.3056012466469496E-2</c:v>
                </c:pt>
                <c:pt idx="11">
                  <c:v>2.9919088923053828E-2</c:v>
                </c:pt>
                <c:pt idx="12">
                  <c:v>0</c:v>
                </c:pt>
                <c:pt idx="13">
                  <c:v>1.401581304952553E-2</c:v>
                </c:pt>
                <c:pt idx="14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'2018年10月'!$D$29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'2018年10月'!$A$30:$A$44</c:f>
              <c:strCache>
                <c:ptCount val="15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科学研究和技术服务业</c:v>
                </c:pt>
                <c:pt idx="13">
                  <c:v>农、林、牧、渔业</c:v>
                </c:pt>
                <c:pt idx="14">
                  <c:v>居民服务、修理和其他服务业</c:v>
                </c:pt>
              </c:strCache>
            </c:strRef>
          </c:cat>
          <c:val>
            <c:numRef>
              <c:f>'2018年10月'!$D$30:$D$44</c:f>
              <c:numCache>
                <c:formatCode>0.00%</c:formatCode>
                <c:ptCount val="15"/>
                <c:pt idx="0">
                  <c:v>6.7296411944051338E-2</c:v>
                </c:pt>
                <c:pt idx="1">
                  <c:v>-2.5616939354419645E-2</c:v>
                </c:pt>
                <c:pt idx="2">
                  <c:v>-3.9981486112737948E-2</c:v>
                </c:pt>
                <c:pt idx="3">
                  <c:v>-1.0157212125221568E-3</c:v>
                </c:pt>
                <c:pt idx="4">
                  <c:v>1.1620547958231215E-2</c:v>
                </c:pt>
                <c:pt idx="5">
                  <c:v>-8.3327476885351123E-3</c:v>
                </c:pt>
                <c:pt idx="6">
                  <c:v>-1.1605419942141273E-2</c:v>
                </c:pt>
                <c:pt idx="7">
                  <c:v>-1.2339314943225557E-2</c:v>
                </c:pt>
                <c:pt idx="8">
                  <c:v>-6.7269963726433665E-2</c:v>
                </c:pt>
                <c:pt idx="9">
                  <c:v>5.5221083178204844E-2</c:v>
                </c:pt>
                <c:pt idx="10">
                  <c:v>-1.6341975631201638E-2</c:v>
                </c:pt>
                <c:pt idx="11">
                  <c:v>2.5454135986281812E-2</c:v>
                </c:pt>
                <c:pt idx="12">
                  <c:v>0</c:v>
                </c:pt>
                <c:pt idx="13">
                  <c:v>1.9554371126813762E-2</c:v>
                </c:pt>
                <c:pt idx="14">
                  <c:v>3.3570184176339294E-3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885568"/>
        <c:axId val="115887104"/>
      </c:barChart>
      <c:catAx>
        <c:axId val="115885568"/>
        <c:scaling>
          <c:orientation val="minMax"/>
        </c:scaling>
        <c:delete val="0"/>
        <c:axPos val="l"/>
        <c:numFmt formatCode="#,##0_);[Red]\(#,##0\)" sourceLinked="0"/>
        <c:majorTickMark val="in"/>
        <c:minorTickMark val="in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15887104"/>
        <c:crosses val="autoZero"/>
        <c:auto val="0"/>
        <c:lblAlgn val="ctr"/>
        <c:lblOffset val="0"/>
        <c:noMultiLvlLbl val="0"/>
      </c:catAx>
      <c:valAx>
        <c:axId val="115887104"/>
        <c:scaling>
          <c:orientation val="minMax"/>
          <c:max val="0.5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zh-CN"/>
          </a:p>
        </c:txPr>
        <c:crossAx val="115885568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84062166386505055"/>
          <c:y val="0.22444673524444542"/>
          <c:w val="0.15700359786487361"/>
          <c:h val="0.37063028681303417"/>
        </c:manualLayout>
      </c:layout>
      <c:overlay val="0"/>
      <c:txPr>
        <a:bodyPr/>
        <a:lstStyle/>
        <a:p>
          <a:pPr>
            <a:defRPr sz="900" baseline="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baseline="0"/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26790909917993"/>
          <c:y val="6.266642263993856E-2"/>
          <c:w val="0.76037690409888559"/>
          <c:h val="0.79461562201695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'2018年10月'!$B$53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'2018年10月'!$A$54:$A$64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租赁和商务服务业</c:v>
                </c:pt>
                <c:pt idx="7">
                  <c:v>建筑业</c:v>
                </c:pt>
                <c:pt idx="8">
                  <c:v>批发和零售业</c:v>
                </c:pt>
                <c:pt idx="9">
                  <c:v>文化、体育和娱乐业</c:v>
                </c:pt>
                <c:pt idx="10">
                  <c:v>农、林、牧、渔业</c:v>
                </c:pt>
              </c:strCache>
            </c:strRef>
          </c:cat>
          <c:val>
            <c:numRef>
              <c:f>'2018年10月'!$B$54:$B$64</c:f>
              <c:numCache>
                <c:formatCode>0.00%</c:formatCode>
                <c:ptCount val="11"/>
                <c:pt idx="0">
                  <c:v>5.3900711172783437E-2</c:v>
                </c:pt>
                <c:pt idx="1">
                  <c:v>1.9491578292954472E-4</c:v>
                </c:pt>
                <c:pt idx="2">
                  <c:v>0</c:v>
                </c:pt>
                <c:pt idx="3">
                  <c:v>0.48057809873059587</c:v>
                </c:pt>
                <c:pt idx="4">
                  <c:v>2.6898378044277173E-2</c:v>
                </c:pt>
                <c:pt idx="5">
                  <c:v>8.0868392606546664E-3</c:v>
                </c:pt>
                <c:pt idx="6">
                  <c:v>0.41209780601892254</c:v>
                </c:pt>
                <c:pt idx="7">
                  <c:v>1.0547109587409809E-2</c:v>
                </c:pt>
                <c:pt idx="8">
                  <c:v>5.9852139744898869E-3</c:v>
                </c:pt>
                <c:pt idx="9">
                  <c:v>0</c:v>
                </c:pt>
                <c:pt idx="10">
                  <c:v>1.7109274279371149E-3</c:v>
                </c:pt>
              </c:numCache>
            </c:numRef>
          </c:val>
        </c:ser>
        <c:ser>
          <c:idx val="1"/>
          <c:order val="1"/>
          <c:tx>
            <c:strRef>
              <c:f>'2018年10月'!$C$53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'2018年10月'!$A$54:$A$64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租赁和商务服务业</c:v>
                </c:pt>
                <c:pt idx="7">
                  <c:v>建筑业</c:v>
                </c:pt>
                <c:pt idx="8">
                  <c:v>批发和零售业</c:v>
                </c:pt>
                <c:pt idx="9">
                  <c:v>文化、体育和娱乐业</c:v>
                </c:pt>
                <c:pt idx="10">
                  <c:v>农、林、牧、渔业</c:v>
                </c:pt>
              </c:strCache>
            </c:strRef>
          </c:cat>
          <c:val>
            <c:numRef>
              <c:f>'2018年10月'!$C$54:$C$64</c:f>
              <c:numCache>
                <c:formatCode>0.00%</c:formatCode>
                <c:ptCount val="11"/>
                <c:pt idx="0">
                  <c:v>0.13548735081585991</c:v>
                </c:pt>
                <c:pt idx="1">
                  <c:v>2.6590715172450926E-2</c:v>
                </c:pt>
                <c:pt idx="2">
                  <c:v>4.6251447565810516E-3</c:v>
                </c:pt>
                <c:pt idx="3">
                  <c:v>0.26304977111839695</c:v>
                </c:pt>
                <c:pt idx="4">
                  <c:v>0.11803500902843107</c:v>
                </c:pt>
                <c:pt idx="5">
                  <c:v>3.0326409014304855E-2</c:v>
                </c:pt>
                <c:pt idx="6">
                  <c:v>0.39367336041832723</c:v>
                </c:pt>
                <c:pt idx="7">
                  <c:v>2.538415567073413E-2</c:v>
                </c:pt>
                <c:pt idx="8">
                  <c:v>1.3148404826400981E-3</c:v>
                </c:pt>
                <c:pt idx="9">
                  <c:v>7.3980794425027886E-4</c:v>
                </c:pt>
                <c:pt idx="10">
                  <c:v>7.7343557802358716E-4</c:v>
                </c:pt>
              </c:numCache>
            </c:numRef>
          </c:val>
        </c:ser>
        <c:ser>
          <c:idx val="2"/>
          <c:order val="2"/>
          <c:tx>
            <c:strRef>
              <c:f>'2018年10月'!$D$53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'2018年10月'!$A$54:$A$64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租赁和商务服务业</c:v>
                </c:pt>
                <c:pt idx="7">
                  <c:v>建筑业</c:v>
                </c:pt>
                <c:pt idx="8">
                  <c:v>批发和零售业</c:v>
                </c:pt>
                <c:pt idx="9">
                  <c:v>文化、体育和娱乐业</c:v>
                </c:pt>
                <c:pt idx="10">
                  <c:v>农、林、牧、渔业</c:v>
                </c:pt>
              </c:strCache>
            </c:strRef>
          </c:cat>
          <c:val>
            <c:numRef>
              <c:f>'2018年10月'!$D$54:$D$64</c:f>
              <c:numCache>
                <c:formatCode>0.00%</c:formatCode>
                <c:ptCount val="11"/>
                <c:pt idx="0">
                  <c:v>-8.158663964307647E-2</c:v>
                </c:pt>
                <c:pt idx="1">
                  <c:v>-2.6395799389521381E-2</c:v>
                </c:pt>
                <c:pt idx="2">
                  <c:v>-4.6251447565810516E-3</c:v>
                </c:pt>
                <c:pt idx="3">
                  <c:v>0.21752832761219892</c:v>
                </c:pt>
                <c:pt idx="4">
                  <c:v>-9.1136630984153894E-2</c:v>
                </c:pt>
                <c:pt idx="5">
                  <c:v>-2.2239569753650188E-2</c:v>
                </c:pt>
                <c:pt idx="6">
                  <c:v>1.8424445600595307E-2</c:v>
                </c:pt>
                <c:pt idx="7">
                  <c:v>-1.4837046083324321E-2</c:v>
                </c:pt>
                <c:pt idx="8">
                  <c:v>4.6703734918497886E-3</c:v>
                </c:pt>
                <c:pt idx="9">
                  <c:v>-7.3980794425027886E-4</c:v>
                </c:pt>
                <c:pt idx="10">
                  <c:v>9.3749184991352773E-4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349056"/>
        <c:axId val="120350592"/>
      </c:barChart>
      <c:catAx>
        <c:axId val="120349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20350592"/>
        <c:crosses val="autoZero"/>
        <c:auto val="1"/>
        <c:lblAlgn val="ctr"/>
        <c:lblOffset val="100"/>
        <c:noMultiLvlLbl val="0"/>
      </c:catAx>
      <c:valAx>
        <c:axId val="12035059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20349056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76658975353038428"/>
          <c:y val="0.12898978536773814"/>
          <c:w val="0.22208235855068201"/>
          <c:h val="0.4706679846837326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2018-11-05T02:13:00Z</dcterms:created>
  <dcterms:modified xsi:type="dcterms:W3CDTF">2018-11-05T02:13:00Z</dcterms:modified>
</cp:coreProperties>
</file>